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D" w:rsidRDefault="00957E6E">
      <w:pPr>
        <w:pStyle w:val="aff8"/>
        <w:spacing w:before="0" w:after="0"/>
        <w:jc w:val="center"/>
        <w:rPr>
          <w:rFonts w:cs="Times New Roman"/>
        </w:rPr>
      </w:pPr>
      <w:r>
        <w:rPr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en-US"/>
        </w:rPr>
        <w:t>АДМИНИСТРАЦИЯ</w:t>
      </w:r>
      <w:r>
        <w:rPr>
          <w:rFonts w:cs="Times New Roman"/>
          <w:sz w:val="32"/>
          <w:szCs w:val="32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НАГОРЬЕВСКОГО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1A4CAD" w:rsidRDefault="00957E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село Нагорье</w:t>
      </w:r>
    </w:p>
    <w:p w:rsidR="001A4CAD" w:rsidRDefault="001A4CAD">
      <w:pPr>
        <w:jc w:val="center"/>
        <w:rPr>
          <w:rFonts w:ascii="Times New Roman" w:hAnsi="Times New Roman"/>
        </w:rPr>
      </w:pPr>
    </w:p>
    <w:p w:rsidR="001A4CAD" w:rsidRDefault="00957E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  <w:r>
        <w:rPr>
          <w:rFonts w:ascii="Times New Roman" w:hAnsi="Times New Roman"/>
          <w:b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1A4CAD" w:rsidRDefault="00957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1A4CAD" w:rsidRDefault="00957E6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0"/>
          <w:lang w:eastAsia="zh-CN"/>
        </w:rPr>
        <w:t xml:space="preserve">28  марта </w:t>
      </w:r>
      <w:r>
        <w:rPr>
          <w:rFonts w:ascii="Times New Roman" w:hAnsi="Times New Roman"/>
          <w:sz w:val="28"/>
        </w:rPr>
        <w:t xml:space="preserve"> 2025  г.</w:t>
      </w:r>
      <w:r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          №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26</w:t>
      </w:r>
    </w:p>
    <w:p w:rsidR="001A4CAD" w:rsidRDefault="001A4CAD"/>
    <w:tbl>
      <w:tblPr>
        <w:tblW w:w="6061" w:type="dxa"/>
        <w:tblLayout w:type="fixed"/>
        <w:tblLook w:val="01E0" w:firstRow="1" w:lastRow="1" w:firstColumn="1" w:lastColumn="1" w:noHBand="0" w:noVBand="0"/>
      </w:tblPr>
      <w:tblGrid>
        <w:gridCol w:w="6061"/>
      </w:tblGrid>
      <w:tr w:rsidR="001A4CAD">
        <w:trPr>
          <w:trHeight w:val="959"/>
        </w:trPr>
        <w:tc>
          <w:tcPr>
            <w:tcW w:w="6061" w:type="dxa"/>
          </w:tcPr>
          <w:p w:rsidR="001A4CAD" w:rsidRDefault="00957E6E">
            <w:pPr>
              <w:pStyle w:val="af7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 ликвидации юридического лица МКУ «Административно-хозяйственная служба 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район» Белгородской области»</w:t>
            </w:r>
          </w:p>
        </w:tc>
      </w:tr>
    </w:tbl>
    <w:p w:rsidR="001A4CAD" w:rsidRDefault="001A4CAD"/>
    <w:p w:rsidR="001A4CAD" w:rsidRPr="00B5779A" w:rsidRDefault="00957E6E">
      <w:pPr>
        <w:pStyle w:val="af7"/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Cs w:val="28"/>
        </w:rPr>
      </w:pPr>
      <w:r>
        <w:rPr>
          <w:szCs w:val="28"/>
        </w:rPr>
        <w:t xml:space="preserve">  </w:t>
      </w:r>
      <w:proofErr w:type="gramStart"/>
      <w:r>
        <w:rPr>
          <w:rFonts w:ascii="Times New Roman" w:hAnsi="Times New Roman"/>
          <w:szCs w:val="28"/>
        </w:rPr>
        <w:t>Руководствуясь статьями 6</w:t>
      </w:r>
      <w:r>
        <w:rPr>
          <w:rFonts w:ascii="Times New Roman" w:hAnsi="Times New Roman"/>
          <w:szCs w:val="28"/>
        </w:rPr>
        <w:t>1-63 Гражданского кодекса Российской Федерации, Федеральным законом от 14.03.2022г., № 60-ФЗ «О внесении изменений в отдельные законодательные акты Российской Федерации», Федеральным законом от 08.08.2001г. № 129-ФЗ «О государственной регистрации юридическ</w:t>
      </w:r>
      <w:r>
        <w:rPr>
          <w:rFonts w:ascii="Times New Roman" w:hAnsi="Times New Roman"/>
          <w:szCs w:val="28"/>
        </w:rPr>
        <w:t xml:space="preserve">их лиц и индивидуальных предпринимателей», Федеральным законом от 06.10.2003г. № 131-ФЗ «Об общих принципах организации местного самоуправления в Российской Федерации»,   </w:t>
      </w:r>
      <w:r w:rsidRPr="00B5779A">
        <w:rPr>
          <w:rFonts w:ascii="Times New Roman" w:hAnsi="Times New Roman"/>
          <w:szCs w:val="28"/>
          <w:lang w:eastAsia="ru-RU"/>
        </w:rPr>
        <w:t xml:space="preserve">Уставом </w:t>
      </w:r>
      <w:proofErr w:type="spellStart"/>
      <w:r w:rsidRPr="00B5779A">
        <w:rPr>
          <w:rFonts w:ascii="Times New Roman" w:hAnsi="Times New Roman"/>
          <w:szCs w:val="28"/>
          <w:lang w:eastAsia="ru-RU"/>
        </w:rPr>
        <w:t>Нагорьевского</w:t>
      </w:r>
      <w:proofErr w:type="spellEnd"/>
      <w:r w:rsidRPr="00B5779A">
        <w:rPr>
          <w:rFonts w:ascii="Times New Roman" w:hAnsi="Times New Roman"/>
          <w:szCs w:val="28"/>
          <w:lang w:eastAsia="ru-RU"/>
        </w:rPr>
        <w:t xml:space="preserve"> сельского поселения  муниципального района «</w:t>
      </w:r>
      <w:proofErr w:type="spellStart"/>
      <w:r w:rsidRPr="00B5779A">
        <w:rPr>
          <w:rFonts w:ascii="Times New Roman" w:hAnsi="Times New Roman"/>
          <w:szCs w:val="28"/>
          <w:lang w:eastAsia="ru-RU"/>
        </w:rPr>
        <w:t>Ровеньский</w:t>
      </w:r>
      <w:proofErr w:type="spellEnd"/>
      <w:r w:rsidRPr="00B5779A">
        <w:rPr>
          <w:rFonts w:ascii="Times New Roman" w:hAnsi="Times New Roman"/>
          <w:szCs w:val="28"/>
          <w:lang w:eastAsia="ru-RU"/>
        </w:rPr>
        <w:t xml:space="preserve"> район» Б</w:t>
      </w:r>
      <w:r w:rsidRPr="00B5779A">
        <w:rPr>
          <w:rFonts w:ascii="Times New Roman" w:hAnsi="Times New Roman"/>
          <w:szCs w:val="28"/>
          <w:lang w:eastAsia="ru-RU"/>
        </w:rPr>
        <w:t>елгородской</w:t>
      </w:r>
      <w:proofErr w:type="gramEnd"/>
      <w:r w:rsidRPr="00B5779A">
        <w:rPr>
          <w:rFonts w:ascii="Times New Roman" w:hAnsi="Times New Roman"/>
          <w:szCs w:val="28"/>
          <w:lang w:eastAsia="ru-RU"/>
        </w:rPr>
        <w:t xml:space="preserve"> области:</w:t>
      </w:r>
      <w:r w:rsidRPr="00B5779A">
        <w:rPr>
          <w:rFonts w:ascii="Times New Roman" w:hAnsi="Times New Roman"/>
          <w:b/>
          <w:szCs w:val="28"/>
          <w:lang w:eastAsia="ru-RU"/>
        </w:rPr>
        <w:t xml:space="preserve"> </w:t>
      </w:r>
    </w:p>
    <w:p w:rsidR="001A4CAD" w:rsidRDefault="00957E6E">
      <w:pPr>
        <w:pStyle w:val="ConsNormal"/>
        <w:ind w:righ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Ликвидировать юридическое лицо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области»  (зарегистрировано 23.12.2016 года, ОГРН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1163123095520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3117012540</w:t>
      </w:r>
      <w:r>
        <w:rPr>
          <w:rFonts w:ascii="Times New Roman" w:eastAsia="Times New Roman" w:hAnsi="Times New Roman" w:cs="Times New Roman"/>
          <w:sz w:val="28"/>
          <w:szCs w:val="28"/>
        </w:rPr>
        <w:t>, КПП 311701001,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местонахождение: 309750, Белгородская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Нагорье, улица Центральная, дом 10).</w:t>
      </w:r>
    </w:p>
    <w:p w:rsidR="001A4CAD" w:rsidRDefault="00957E6E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Порядок и сроки ликви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дации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области»  согласно приложению № 1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 распоряжению.</w:t>
      </w:r>
    </w:p>
    <w:p w:rsidR="001A4CAD" w:rsidRDefault="00957E6E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Назначить ликвидационную комиссию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области»  (далее – ликвидационная комиссия) и утвердить ее состав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 2 к настоящему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распоряжению.</w:t>
      </w:r>
    </w:p>
    <w:p w:rsidR="001A4CAD" w:rsidRDefault="00957E6E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Председателю ликвидационной комиссии со дня вступления в силу настоящего распоряжения: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4.1. уведомить орган службы занятости о предстоящем высвобождении работников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</w:t>
      </w:r>
      <w:r>
        <w:rPr>
          <w:rFonts w:ascii="Times New Roman" w:hAnsi="Times New Roman"/>
          <w:sz w:val="28"/>
          <w:szCs w:val="28"/>
        </w:rPr>
        <w:t>родской области»;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4.2. уведомить работников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 персонально и по</w:t>
      </w:r>
      <w:r>
        <w:rPr>
          <w:rFonts w:ascii="Times New Roman" w:hAnsi="Times New Roman"/>
          <w:sz w:val="28"/>
          <w:szCs w:val="28"/>
        </w:rPr>
        <w:t>д роспись о предстоящем увольнении в порядке, предусмотренном Трудовым кодексом Российской Федерации.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 Назначить уполномоченным лицом, имеющим право действовать без доверенности от имени юридического лица МКУ «Административно-хозяйственная служба обеспеч</w:t>
      </w:r>
      <w:r>
        <w:rPr>
          <w:rFonts w:ascii="Times New Roman" w:hAnsi="Times New Roman"/>
          <w:sz w:val="28"/>
          <w:szCs w:val="28"/>
        </w:rPr>
        <w:t xml:space="preserve">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области», председателя ликвидационной комиссии.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 Ликвидационной комиссии совершить все необходимые действия и меропр</w:t>
      </w:r>
      <w:r>
        <w:rPr>
          <w:rFonts w:ascii="Times New Roman" w:hAnsi="Times New Roman"/>
          <w:sz w:val="28"/>
          <w:szCs w:val="28"/>
          <w:highlight w:val="white"/>
        </w:rPr>
        <w:t xml:space="preserve">иятия по ликвидации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области» в порядке, установленн</w:t>
      </w:r>
      <w:r>
        <w:rPr>
          <w:rFonts w:ascii="Times New Roman" w:hAnsi="Times New Roman"/>
          <w:sz w:val="28"/>
          <w:szCs w:val="28"/>
          <w:highlight w:val="white"/>
        </w:rPr>
        <w:t>ом законодательством Российской Федерации в срок не позднее 01.07.2025 г., в том числе: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6.1. в течение трех рабочих дней после даты вступления в силу настоящего распоряжения сообщить в установленном статьей 20 Федерального закона от 08.08.2001 г. № 129-ФЗ </w:t>
      </w:r>
      <w:r>
        <w:rPr>
          <w:rFonts w:ascii="Times New Roman" w:hAnsi="Times New Roman"/>
          <w:sz w:val="28"/>
          <w:szCs w:val="28"/>
          <w:highlight w:val="white"/>
        </w:rPr>
        <w:t>«О государственной регистрации юридических лиц и индивидуальных предпринимателей» порядке в уполномоченный государственный орган, осуществляющий государственную регистрацию юридических лиц, о том, что юридическое лицо находится в процессе ликвидации;</w:t>
      </w:r>
      <w:proofErr w:type="gramEnd"/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6.2. </w:t>
      </w:r>
      <w:r>
        <w:rPr>
          <w:rFonts w:ascii="Times New Roman" w:hAnsi="Times New Roman"/>
          <w:sz w:val="28"/>
          <w:szCs w:val="28"/>
        </w:rPr>
        <w:t>опубликовать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юридического лица МКУ «Административно-хозяйственная служба обеспечения деятельности органов местного са</w:t>
      </w:r>
      <w:r>
        <w:rPr>
          <w:rFonts w:ascii="Times New Roman" w:hAnsi="Times New Roman"/>
          <w:sz w:val="28"/>
          <w:szCs w:val="28"/>
        </w:rPr>
        <w:t xml:space="preserve">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области», о порядке и сроке заявления требований его кредиторов, установив срок для заявления требований кредиторов юридического лица МКУ «Административно-</w:t>
      </w:r>
      <w:r>
        <w:rPr>
          <w:rFonts w:ascii="Times New Roman" w:hAnsi="Times New Roman"/>
          <w:sz w:val="28"/>
          <w:szCs w:val="28"/>
        </w:rPr>
        <w:t>хозяйственная служба обеспечения деятельности органов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район» Белгородской области»  – два месяца </w:t>
      </w:r>
      <w:proofErr w:type="gramStart"/>
      <w:r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сообщения о ликвидации;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6.3. провести инвентариза</w:t>
      </w:r>
      <w:r>
        <w:rPr>
          <w:rFonts w:ascii="Times New Roman" w:hAnsi="Times New Roman"/>
          <w:sz w:val="28"/>
          <w:szCs w:val="28"/>
        </w:rPr>
        <w:t xml:space="preserve">цию муниципального имущества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  в установлен</w:t>
      </w:r>
      <w:r>
        <w:rPr>
          <w:rFonts w:ascii="Times New Roman" w:hAnsi="Times New Roman"/>
          <w:sz w:val="28"/>
          <w:szCs w:val="28"/>
        </w:rPr>
        <w:t>ном порядке;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6.4. принять меры к выявлению кредиторов и получению дебиторской задолженности, а также письменно уведомить кредиторов о ликвидации юридического лица МКУ «Административно-хозяйственная служба обеспечения деятельности органов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6.5. после окончания срока предъявления требований кредиторами составить промежуточный ликвидационный баланс и представить его на утверждение администра</w:t>
      </w:r>
      <w:r>
        <w:rPr>
          <w:rFonts w:ascii="Times New Roman" w:hAnsi="Times New Roman"/>
          <w:sz w:val="28"/>
          <w:szCs w:val="28"/>
          <w:highlight w:val="white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6.6. произвести выплату денежных сумм кредиторам ликвидируемого юридического лица МКУ «Административно-хозяйственная служба обеспечения деятельности органо</w:t>
      </w:r>
      <w:r>
        <w:rPr>
          <w:rFonts w:ascii="Times New Roman" w:hAnsi="Times New Roman"/>
          <w:sz w:val="28"/>
          <w:szCs w:val="28"/>
        </w:rPr>
        <w:t xml:space="preserve">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области» в порядке очередности, установленной статьей 64 Гражданского кодекса Российской Федерации, в соответствии с промежуточным ликвидацион</w:t>
      </w:r>
      <w:r>
        <w:rPr>
          <w:rFonts w:ascii="Times New Roman" w:hAnsi="Times New Roman"/>
          <w:sz w:val="28"/>
          <w:szCs w:val="28"/>
        </w:rPr>
        <w:t>ным балансом;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6.7. после завершения расчетов с кредиторами и передачи муниципального имущества в казну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составить ликвидационный баланс и представить его на утверждение в администрац</w:t>
      </w:r>
      <w:r>
        <w:rPr>
          <w:rFonts w:ascii="Times New Roman" w:hAnsi="Times New Roman"/>
          <w:sz w:val="28"/>
          <w:szCs w:val="28"/>
          <w:highlight w:val="white"/>
        </w:rPr>
        <w:t xml:space="preserve">ию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области;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6.8. принять меры по внесению соответствующих сведений о юридическом лице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</w:t>
      </w:r>
      <w:r>
        <w:rPr>
          <w:rFonts w:ascii="Times New Roman" w:hAnsi="Times New Roman"/>
          <w:sz w:val="28"/>
          <w:szCs w:val="28"/>
        </w:rPr>
        <w:t>ской области» в Единый государственный реестр юридических лиц в порядке, установленном законодательством Российской Федерации.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7. 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 после совершения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действий по ликвидации 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области» привести правовые</w:t>
      </w:r>
      <w:r>
        <w:rPr>
          <w:rFonts w:ascii="Times New Roman" w:hAnsi="Times New Roman"/>
          <w:sz w:val="28"/>
          <w:szCs w:val="28"/>
          <w:highlight w:val="white"/>
        </w:rPr>
        <w:t xml:space="preserve">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район» Белгородской области в соответствии с настоящим распоряжением.</w:t>
      </w:r>
      <w:proofErr w:type="gramEnd"/>
    </w:p>
    <w:p w:rsidR="001A4CAD" w:rsidRDefault="00957E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8. Опубликовать настоящее распоряжение в сетевом издании 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нива».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Разместить на офи</w:t>
      </w:r>
      <w:r>
        <w:rPr>
          <w:rFonts w:ascii="Times New Roman" w:hAnsi="Times New Roman"/>
          <w:sz w:val="28"/>
          <w:szCs w:val="28"/>
        </w:rPr>
        <w:t xml:space="preserve">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в сети «Интернет».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4CAD" w:rsidRDefault="00957E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исполнением распоряжения оставляю за собой.</w:t>
      </w:r>
    </w:p>
    <w:p w:rsidR="001A4CAD" w:rsidRDefault="00957E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A4CAD" w:rsidRDefault="001A4CAD">
      <w:pPr>
        <w:jc w:val="both"/>
        <w:rPr>
          <w:b/>
          <w:sz w:val="26"/>
          <w:szCs w:val="26"/>
        </w:rPr>
      </w:pPr>
    </w:p>
    <w:p w:rsidR="001A4CAD" w:rsidRDefault="00957E6E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Глава администрации </w:t>
      </w:r>
    </w:p>
    <w:p w:rsidR="001A4CAD" w:rsidRDefault="00957E6E">
      <w:pPr>
        <w:jc w:val="both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Нагорьевского</w:t>
      </w:r>
      <w:proofErr w:type="spellEnd"/>
      <w:r>
        <w:rPr>
          <w:rFonts w:ascii="Times New Roman" w:hAnsi="Times New Roman"/>
          <w:b/>
          <w:sz w:val="28"/>
          <w:szCs w:val="27"/>
          <w:lang w:eastAsia="ru-RU"/>
        </w:rPr>
        <w:t xml:space="preserve"> сельского поселе</w:t>
      </w:r>
      <w:r>
        <w:rPr>
          <w:rFonts w:ascii="Times New Roman" w:hAnsi="Times New Roman"/>
          <w:b/>
          <w:sz w:val="28"/>
          <w:szCs w:val="27"/>
          <w:lang w:eastAsia="ru-RU"/>
        </w:rPr>
        <w:t>ния</w:t>
      </w:r>
      <w:r>
        <w:rPr>
          <w:rFonts w:ascii="Times New Roman" w:hAnsi="Times New Roman"/>
          <w:b/>
          <w:sz w:val="28"/>
          <w:szCs w:val="27"/>
          <w:lang w:eastAsia="ru-RU"/>
        </w:rPr>
        <w:tab/>
        <w:t xml:space="preserve">                                   В.С. Котов</w:t>
      </w: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1A4CAD">
      <w:pPr>
        <w:pStyle w:val="ConsPlusNormal"/>
        <w:jc w:val="right"/>
        <w:rPr>
          <w:sz w:val="28"/>
          <w:szCs w:val="28"/>
          <w:lang w:val="ru-RU"/>
        </w:rPr>
        <w:sectPr w:rsidR="001A4CAD"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tbl>
      <w:tblPr>
        <w:tblW w:w="13289" w:type="dxa"/>
        <w:tblLayout w:type="fixed"/>
        <w:tblLook w:val="04A0" w:firstRow="1" w:lastRow="0" w:firstColumn="1" w:lastColumn="0" w:noHBand="0" w:noVBand="1"/>
      </w:tblPr>
      <w:tblGrid>
        <w:gridCol w:w="7903"/>
        <w:gridCol w:w="5386"/>
      </w:tblGrid>
      <w:tr w:rsidR="001A4CAD">
        <w:tc>
          <w:tcPr>
            <w:tcW w:w="7903" w:type="dxa"/>
          </w:tcPr>
          <w:p w:rsidR="001A4CAD" w:rsidRDefault="001A4CAD">
            <w:pPr>
              <w:widowControl w:val="0"/>
              <w:rPr>
                <w:rFonts w:eastAsia="Calibri"/>
              </w:rPr>
            </w:pPr>
          </w:p>
        </w:tc>
        <w:tc>
          <w:tcPr>
            <w:tcW w:w="5386" w:type="dxa"/>
          </w:tcPr>
          <w:p w:rsidR="001A4CAD" w:rsidRDefault="00957E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1A4CAD" w:rsidRDefault="00957E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распоряжению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1A4CAD" w:rsidRDefault="00957E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</w:t>
            </w:r>
            <w:r w:rsidR="00E84F8E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г. № 26</w:t>
            </w:r>
          </w:p>
        </w:tc>
      </w:tr>
    </w:tbl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p w:rsidR="001A4CAD" w:rsidRDefault="00957E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и сроки ликвидации юридического лица МКУ «Административно-хозяйственная служба обеспечения деятельности органов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агорьевскуого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(далее – МКУ «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Нагорьевская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АХС)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2409"/>
        <w:gridCol w:w="2553"/>
        <w:gridCol w:w="1786"/>
        <w:gridCol w:w="3315"/>
      </w:tblGrid>
      <w:tr w:rsidR="001A4CAD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Норма, регулирующая порядок исполнения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A4CAD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АХС» и формировании ликвидационной комиссии, утверждение порядка и сроков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 ст. 61 ГК РФ;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3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момента формирования ликвидационной комиссии к ней переходят полномочия по управлению делами 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ХС»</w:t>
            </w:r>
          </w:p>
        </w:tc>
      </w:tr>
      <w:tr w:rsidR="001A4CAD">
        <w:trPr>
          <w:trHeight w:val="4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Pr="00E84F8E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уведомления в Управление Федеральной налоговой службы по Белгородской области о принятом администрацией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 xml:space="preserve">АХС» 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>и о формировании ликвидационной комиссии для внесения в ЕГРЮЛ записи о том, что 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sz w:val="20"/>
                <w:szCs w:val="20"/>
              </w:rPr>
              <w:t xml:space="preserve"> АХС» находится в процессе ликвидации как юридическое лицо</w:t>
            </w:r>
            <w:proofErr w:type="gramEnd"/>
          </w:p>
          <w:p w:rsidR="001A4CAD" w:rsidRPr="00E84F8E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A4CAD" w:rsidRPr="00E84F8E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4F8E">
              <w:rPr>
                <w:rFonts w:ascii="Times New Roman" w:hAnsi="Times New Roman"/>
                <w:sz w:val="20"/>
                <w:szCs w:val="20"/>
              </w:rPr>
              <w:t>Уведомление направляется в Управление Федеральной налоговой службы по Белгородской области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4F8E">
              <w:rPr>
                <w:rFonts w:ascii="Times New Roman" w:hAnsi="Times New Roman"/>
                <w:sz w:val="20"/>
                <w:szCs w:val="20"/>
              </w:rPr>
              <w:t>(по мест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>у нахождения 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>АХС</w:t>
            </w:r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 рабочих дней после даты принятия распоряжения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 и создании ликвидационной комиссии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 ст. 62 ГК РФ;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1.2 ст.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Закона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№ 129-ФЗ;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п.1, п. 2 ст. 20 Закона №129-ФЗ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о принятии решения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 формировании ликвидационной комиссии направляется в регистрирующий орган с приложением принятого решения в письменной форме.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Форма ув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едомления приведена в приложении № 5 к приказу ФНС России от 31.08.2020 г.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№ ЕД-7-14/617@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(форма № Р15016).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Требования к оформлению уведомления определены в разделе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приложения № 13 к приказу ФНС России от 31.08.2020 г.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№ ЕД-7-14/617@.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Подлинность подписи заявителя на уведомлении по форме № Р15016 должна быть засвидетельствована нотариусом.</w:t>
            </w:r>
          </w:p>
        </w:tc>
      </w:tr>
      <w:tr w:rsidR="001A4CAD">
        <w:trPr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на официальном сайте ОМСУ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района, в сетевом издании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нива» сообщения о том, что </w:t>
            </w: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находится в процессе ликвидации как юридическое лицо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течение 7 рабочих дней после даты принятия распоряжения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Нагорьевуского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уведомления о ликвидации 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 в Едином федеральном реестре сведений о фактах деятельности юридических л</w:t>
            </w:r>
            <w:r>
              <w:rPr>
                <w:rFonts w:ascii="Times New Roman" w:hAnsi="Times New Roman"/>
                <w:sz w:val="20"/>
                <w:szCs w:val="20"/>
              </w:rPr>
              <w:t>иц (https://fedresurs.ru)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5 рабочих дней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 внесения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сведений ЕГРЮЛ</w:t>
            </w:r>
          </w:p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ИФНС России по г. Белгороду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«н.5» п. 7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ст. 7.1 Закона № 129-ФЗ;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п. 9 ст. 7.1 Закона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2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в журнале «Вестник государственной регистрации» сообщения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лица, а также информации о порядке и сроке заявления требований кредиторами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представления уведомления о принятии распоряжения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в Управление Федеральной налоговой службы по Белгородской области в порядке, предусмотренном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пунктом 2 ст.20 Закона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№ 129-ФЗ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начале процедуры ликвидации в ЕГРЮЛ)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</w:t>
            </w:r>
            <w:r>
              <w:rPr>
                <w:rFonts w:ascii="Times New Roman" w:hAnsi="Times New Roman"/>
                <w:sz w:val="20"/>
                <w:szCs w:val="20"/>
              </w:rPr>
              <w:t>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 п.2 ст. 20 Закона № 129-ФЗ;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Приказ ФНС России от 16.06.2006 г. №САЭ-3-09/355@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Приказом ФНС России от 16.06.2006 г. № САЭ-3-09/355@ установлено, что изданием, в котором публикуется сообщение о ликвидации, является «Вестник государственной регистрации»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Разместить сообщение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можно через специальную форму на сайте издания, заполнив заявк</w:t>
            </w:r>
            <w:r>
              <w:rPr>
                <w:rFonts w:ascii="Times New Roman" w:hAnsi="Times New Roman"/>
                <w:sz w:val="20"/>
                <w:szCs w:val="20"/>
              </w:rPr>
              <w:t>у и отправив ее на указанный адрес электронной почты</w:t>
            </w:r>
          </w:p>
        </w:tc>
      </w:tr>
      <w:tr w:rsidR="001A4CAD">
        <w:trPr>
          <w:trHeight w:val="2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руководителя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и его работников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Незамедлительно после принятия решения о ликвидации 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>АХС</w:t>
            </w:r>
            <w:r>
              <w:rPr>
                <w:rFonts w:ascii="Times New Roman" w:hAnsi="Times New Roman"/>
                <w:sz w:val="20"/>
                <w:szCs w:val="20"/>
              </w:rPr>
              <w:t>» как юридического лица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 менее чем за два месяца до прекращения трудовых отношений)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2, 3 ст. 180 ТК РФ;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81 ТК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вручается персонально и под роспись.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рекомендуется указать</w:t>
            </w:r>
            <w:r>
              <w:rPr>
                <w:rFonts w:ascii="Times New Roman" w:hAnsi="Times New Roman"/>
                <w:sz w:val="20"/>
                <w:szCs w:val="20"/>
              </w:rPr>
              <w:t>: информацию о предстоящем прекращении полномочий в связи с ликвидацией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АХС»; реквизиты документа, где содержится решение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</w:tr>
      <w:tr w:rsidR="001A4CAD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в письменной форме органов службы занятости о принятом администрацией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и о досрочном прекращении полномоч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за 2 месяца до начала проведения соответствующих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 п. 2 ст. 25 Закона № 1032-1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необходимо указать должность, профессию, специальность и квалификационные требования, усл</w:t>
            </w:r>
            <w:r>
              <w:rPr>
                <w:rFonts w:ascii="Times New Roman" w:hAnsi="Times New Roman"/>
                <w:sz w:val="20"/>
                <w:szCs w:val="20"/>
              </w:rPr>
              <w:t>овия оплаты труда.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уведомления приведена в приложении № 1 к приказу Минтруда России от 26.01.2022 г. № 24</w:t>
            </w:r>
          </w:p>
        </w:tc>
      </w:tr>
      <w:tr w:rsidR="001A4CAD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инвентаризации имущества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даты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27 </w:t>
            </w:r>
            <w:bookmarkStart w:id="1" w:name="_Hlk100776399"/>
            <w:r>
              <w:rPr>
                <w:rFonts w:ascii="Times New Roman" w:hAnsi="Times New Roman"/>
                <w:sz w:val="20"/>
                <w:szCs w:val="20"/>
              </w:rPr>
              <w:t>приказа Минфина России от 29.07.1998 г. № 34н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Минфина России от 13.06.1995 г. № 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кредиторов и получение дебиторской задолженности, а также уведомление в письменной форме кредиторов о ликв</w:t>
            </w:r>
            <w:r>
              <w:rPr>
                <w:rFonts w:ascii="Times New Roman" w:hAnsi="Times New Roman"/>
                <w:sz w:val="20"/>
                <w:szCs w:val="20"/>
              </w:rPr>
              <w:t>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содержать срок для предъявления требований – не менее 2 месяцев с момента публикации сообщения о ликвидации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 месяцев с момента публикации сообщения о ликвидации в Вестнике государственной регистрации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</w:t>
            </w:r>
          </w:p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осуществляться надлежащим образом – почтовым отправлением с уведомлением о вруч</w:t>
            </w:r>
            <w:r>
              <w:rPr>
                <w:rFonts w:ascii="Times New Roman" w:hAnsi="Times New Roman"/>
                <w:sz w:val="20"/>
                <w:szCs w:val="20"/>
              </w:rPr>
              <w:t>ении письма.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 сохранить копии всех уведомлений, отправленных кредиторам.</w:t>
            </w:r>
          </w:p>
        </w:tc>
      </w:tr>
      <w:tr w:rsidR="001A4CAD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окончания срока предъявления требований кредиторами, предусмотренного  пунктом 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ликвидационный баланс должен содержать сведения о составе имущества ликвидируемого юридического лица, перечне кредиторов и требований, предъявленных ими, результатах рассмотрения требований ликвидационной комиссией,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 вступившим в законную силу решением суда (при наличии)</w:t>
            </w:r>
          </w:p>
        </w:tc>
      </w:tr>
      <w:tr w:rsidR="001A4CA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3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anchor="/document/74640310/entry/5000" w:tooltip="https://internet.garant.ru/#/document/74640310/entry/5000" w:history="1">
              <w:proofErr w:type="gramStart"/>
              <w:r>
                <w:rPr>
                  <w:rFonts w:ascii="Times New Roman" w:hAnsi="Times New Roman"/>
                  <w:sz w:val="20"/>
                  <w:szCs w:val="20"/>
                </w:rPr>
                <w:t>Уведомл</w:t>
              </w:r>
            </w:hyperlink>
            <w:bookmarkStart w:id="2" w:name="_Hlt100420709"/>
            <w:bookmarkStart w:id="3" w:name="_Hlt100420708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2"/>
            <w:bookmarkEnd w:id="3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Управление Федеральной налоговой службы </w:t>
            </w:r>
            <w:r>
              <w:rPr>
                <w:rFonts w:ascii="Times New Roman" w:hAnsi="Times New Roman"/>
                <w:sz w:val="20"/>
                <w:szCs w:val="20"/>
              </w:rPr>
              <w:t>по Белгородской области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составлении промежуточного ликвидационного баланса.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ранее срока, установленного в п.4 ст. 20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Закона № 129-ФЗ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 и п.4 ст. 20 З</w:t>
            </w:r>
            <w:r>
              <w:rPr>
                <w:rFonts w:ascii="Times New Roman" w:hAnsi="Times New Roman"/>
                <w:sz w:val="20"/>
                <w:szCs w:val="20"/>
              </w:rPr>
              <w:t>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 форме, приведенной в приложении № 5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на то, что оно представлено в связи с составлением промежуточного баланса (форма № Р15016).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Подлинно</w:t>
            </w:r>
            <w:r>
              <w:rPr>
                <w:rFonts w:ascii="Times New Roman" w:hAnsi="Times New Roman"/>
                <w:sz w:val="20"/>
                <w:szCs w:val="20"/>
              </w:rPr>
              <w:t>сть подписи заявителя на уведомлении по форме № Р15016 должна быть засвидетельствована нотариусом.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подачи документов лично в УФНС Росси по Белгородской области – г. Белгород,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д.7 или МФЦ в соответствующем муниципальном образовании. Подпись заявителя должна быть засвидетельствована нотариально, за исключением случаев,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заявителем документов в электронном виде, подписанных усиленной квалифицированной подписью заявителя.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ам промежуточный ликвидационный баланс в налоговый орган не представляется.</w:t>
            </w:r>
          </w:p>
        </w:tc>
      </w:tr>
      <w:tr w:rsidR="001A4CAD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Представление в территориальный орган ПФР сведений о работающих зарегистрированных лицах, предусмотренных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1-8 п. 2 ст. 6 и п. 2 и п. 2.4 ст. 11 Закона № 27-ФЗ, п. 4 ст. 9 </w:t>
            </w:r>
            <w:r>
              <w:rPr>
                <w:rFonts w:ascii="Times New Roman" w:hAnsi="Times New Roman"/>
                <w:sz w:val="20"/>
                <w:szCs w:val="20"/>
              </w:rPr>
              <w:t>Закона № 56-ФЗ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одного месяца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 дня утверждения промежуточного ликвидационного баланса, но не позднее дня представления в Управление Федеральной налоговой службы по Белгородской области документов для государственной регистрации при ликвидации ю</w:t>
            </w:r>
            <w:r>
              <w:rPr>
                <w:rFonts w:ascii="Times New Roman" w:hAnsi="Times New Roman"/>
                <w:sz w:val="20"/>
                <w:szCs w:val="20"/>
              </w:rPr>
              <w:t>ридического лица, указанных 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пункте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9, п. 1, п. 3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11, Закона № 27-ФЗ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в соответствии с промежуточным ликвидационным балансом денежных сумм кредиторам ликвидируемого юридического лица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в порядке очередности, установленной ст. 64 ГК РФ (при наличии кредиторской задолженности)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 дня утверждения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63 ГК РФ;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64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6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 муниципального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имущества, оставшегося после удо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влетворения требований кредиторов в МКУ «АХС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ликвидационного баланса и удовлетворения требований кредиторов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 ст. 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 Управление Федеральной налоговой службы по Белгородской области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завершении процесса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АХС», подготовка и представление в регистрирующий орган для государственной регистрации следующих документов: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заявления о гос</w:t>
            </w:r>
            <w:r>
              <w:rPr>
                <w:rFonts w:ascii="Times New Roman" w:hAnsi="Times New Roman"/>
                <w:sz w:val="20"/>
                <w:szCs w:val="20"/>
              </w:rPr>
              <w:t>ударственной регистрации в связи с завершением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 (форма № Р15016);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ликвидационного баланса, утвержденного распоряжением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Белгородской области;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– документа, подтверждающего уплату государственной пошлины в размере 800 рублей (госпошлина не уплачивается в случаях:</w:t>
            </w:r>
            <w:proofErr w:type="gramEnd"/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заявителем документов в электронном виде, подписанных усиленной квалифицированной подпись</w:t>
            </w:r>
            <w:r>
              <w:rPr>
                <w:rFonts w:ascii="Times New Roman" w:hAnsi="Times New Roman"/>
                <w:sz w:val="20"/>
                <w:szCs w:val="20"/>
              </w:rPr>
              <w:t>ю заявителя, а также через МФЦ и нотариуса)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ранее чем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 с момента помещения в органах печати ликвидационной комиссией публикации о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ст.21 Зако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п.2, п. 3, п. 4 ст. 22 Закона № 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 форме, приведенной в приложении № 5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указанием на то, что оно представляется в связи с завершением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(форма № Р15016).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должна быть засвидетельствована нотариально, за исключением случаев, когда заявитель представляет документы в электронном виде, подписанные усиленной квалифицированной подписью заявителя</w:t>
            </w:r>
          </w:p>
        </w:tc>
      </w:tr>
      <w:tr w:rsidR="001A4CAD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ликвидации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как юридического лица, внесение записи о ликвидации в ЕГРЮЛ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чем 5 рабочих дней со дня представления в регистрирующий орган (налоговый орган) документов, предусмотренных в пункте 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</w:t>
            </w:r>
            <w:r>
              <w:rPr>
                <w:rFonts w:ascii="Times New Roman" w:hAnsi="Times New Roman"/>
                <w:sz w:val="20"/>
                <w:szCs w:val="20"/>
              </w:rPr>
              <w:t>стрирующий орган по месту нахождения ликвидируемого юридического лица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22 Закона № 129-ФЗ;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 Закона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Ликвидация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 считается завершенной после внесения сведений о ее ликвидации в ЕГРЮЛ</w:t>
            </w:r>
          </w:p>
        </w:tc>
      </w:tr>
      <w:tr w:rsidR="001A4CA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в орган, обслуживающий лицевой счет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АХС», заявления о закрытии данного счета</w:t>
            </w:r>
          </w:p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62, 68 приказа Казначейства России от 17.10.2016 г. № 21н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CAD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документов МКУ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(в том числе связанных с ее ликвидацией в качестве юридического лица)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архив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23 Закона № 125-ФЗ;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Росархива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 20.12.2019 г. № 236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A4CAD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Уничтожение печати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юридического лица (МКУ «</w:t>
            </w:r>
            <w:proofErr w:type="spellStart"/>
            <w:r w:rsidRPr="00E84F8E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Нагорьевская</w:t>
            </w:r>
            <w:proofErr w:type="spellEnd"/>
            <w:r w:rsidRPr="00E84F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F8E">
              <w:rPr>
                <w:rFonts w:ascii="Times New Roman" w:hAnsi="Times New Roman"/>
                <w:sz w:val="20"/>
                <w:szCs w:val="20"/>
              </w:rPr>
              <w:t>АХС»)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1A4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4CAD" w:rsidRDefault="001A4CAD">
      <w:pPr>
        <w:pStyle w:val="ConsPlusNormal"/>
        <w:jc w:val="both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</w:pPr>
    </w:p>
    <w:p w:rsidR="001A4CAD" w:rsidRDefault="001A4CAD">
      <w:pPr>
        <w:pStyle w:val="ConsPlusNormal"/>
        <w:jc w:val="right"/>
        <w:rPr>
          <w:sz w:val="28"/>
          <w:szCs w:val="28"/>
        </w:rPr>
        <w:sectPr w:rsidR="001A4CAD">
          <w:pgSz w:w="16838" w:h="11906" w:orient="landscape"/>
          <w:pgMar w:top="1701" w:right="1134" w:bottom="850" w:left="1134" w:header="709" w:footer="709" w:gutter="0"/>
          <w:cols w:space="1701"/>
          <w:titlePg/>
          <w:docGrid w:linePitch="360"/>
        </w:sectPr>
      </w:pPr>
    </w:p>
    <w:p w:rsidR="001A4CAD" w:rsidRDefault="001A4CAD">
      <w:pPr>
        <w:pStyle w:val="ConsPlusNormal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30"/>
        <w:gridCol w:w="5040"/>
      </w:tblGrid>
      <w:tr w:rsidR="001A4CAD">
        <w:tc>
          <w:tcPr>
            <w:tcW w:w="4530" w:type="dxa"/>
          </w:tcPr>
          <w:p w:rsidR="001A4CAD" w:rsidRDefault="001A4CA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9" w:type="dxa"/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 распоряжению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2025г. № 26</w:t>
            </w:r>
          </w:p>
        </w:tc>
      </w:tr>
    </w:tbl>
    <w:p w:rsidR="001A4CAD" w:rsidRDefault="001A4CAD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1A4CAD" w:rsidRDefault="001A4CAD">
      <w:pPr>
        <w:pStyle w:val="ConsNormal"/>
        <w:ind w:right="0" w:firstLine="0"/>
        <w:jc w:val="both"/>
        <w:rPr>
          <w:rFonts w:ascii="Times New Roman" w:hAnsi="Times New Roma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4CA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Состав</w:t>
            </w:r>
          </w:p>
          <w:p w:rsidR="001A4CAD" w:rsidRDefault="00957E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ликвидационной комиссии</w:t>
            </w:r>
          </w:p>
        </w:tc>
      </w:tr>
      <w:tr w:rsidR="001A4CAD">
        <w:trPr>
          <w:trHeight w:val="17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Котов  Вадим  Сергеевич,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Белгородской области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 председатель ликвидационной комиссии</w:t>
            </w:r>
          </w:p>
        </w:tc>
      </w:tr>
      <w:tr w:rsidR="001A4C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Поздняков  Валерий  Васильевич,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главы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Белгородской област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заместитель председателя ликвидационной комиссии</w:t>
            </w:r>
          </w:p>
        </w:tc>
      </w:tr>
      <w:tr w:rsidR="001A4CA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tabs>
                <w:tab w:val="left" w:pos="1830"/>
                <w:tab w:val="left" w:pos="9498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ликвидационной комиссии:</w:t>
            </w:r>
          </w:p>
        </w:tc>
      </w:tr>
      <w:tr w:rsidR="001A4C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Плякина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 Марина  Викторовна,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экономист-финансист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Белгородской области -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секретарь ликвидационной комиссии</w:t>
            </w:r>
          </w:p>
        </w:tc>
      </w:tr>
      <w:tr w:rsidR="001A4CAD">
        <w:trPr>
          <w:trHeight w:val="482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Бычкова  Елена  Григорьевна,</w:t>
            </w:r>
          </w:p>
          <w:p w:rsidR="001A4CAD" w:rsidRDefault="001A4CAD">
            <w:pPr>
              <w:widowControl w:val="0"/>
              <w:spacing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Ровеньский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  <w:tr w:rsidR="001A4CA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Ермолаева  Валентина  Александровна  (по согласованию),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AD" w:rsidRDefault="00957E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ачальник отдела бухгалтерского учета органов местного самоуправления, казенных учреждений городского (сельских) поселений МКУ «ЦБУ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района». </w:t>
            </w:r>
          </w:p>
        </w:tc>
      </w:tr>
    </w:tbl>
    <w:p w:rsidR="001A4CAD" w:rsidRDefault="001A4CAD">
      <w:pPr>
        <w:pStyle w:val="ConsPlusNormal"/>
        <w:jc w:val="right"/>
        <w:rPr>
          <w:sz w:val="28"/>
          <w:szCs w:val="28"/>
          <w:lang w:val="ru-RU"/>
        </w:rPr>
      </w:pPr>
    </w:p>
    <w:sectPr w:rsidR="001A4CAD">
      <w:pgSz w:w="11906" w:h="16838"/>
      <w:pgMar w:top="1134" w:right="850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6E" w:rsidRDefault="00957E6E">
      <w:pPr>
        <w:spacing w:after="0" w:line="240" w:lineRule="auto"/>
      </w:pPr>
      <w:r>
        <w:separator/>
      </w:r>
    </w:p>
  </w:endnote>
  <w:endnote w:type="continuationSeparator" w:id="0">
    <w:p w:rsidR="00957E6E" w:rsidRDefault="0095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AD" w:rsidRDefault="00957E6E">
    <w:pPr>
      <w:pStyle w:val="16"/>
      <w:ind w:right="360"/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50279116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1A4CAD" w:rsidRDefault="00957E6E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1" o:spid="_x0000_s1" style="position:absolute;mso-wrap-distance-left:0.0pt;mso-wrap-distance-top:0.0pt;mso-wrap-distance-right:0.0pt;mso-wrap-distance-bottom:0.0pt;z-index:502791168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6510"/>
              <wp:effectExtent l="0" t="0" r="0" b="0"/>
              <wp:wrapSquare wrapText="bothSides"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1A4CAD" w:rsidRDefault="00957E6E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2" o:spid="_x0000_s2" style="position:absolute;mso-wrap-distance-left:0.0pt;mso-wrap-distance-top:0.0pt;mso-wrap-distance-right:0.0pt;mso-wrap-distance-bottom:0.0pt;z-index:251658240;o:allowoverlap:true;o:allowincell:true;mso-position-horizontal-relative:margin;mso-position-horizontal:right;mso-position-vertical-relative:text;margin-top:0.0pt;mso-position-vertical:absolute;width:9.4pt;height:1.3pt;" coordsize="100000,100000" path="m0,0l0,21592l21600,21592l21600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760220"/>
              <wp:effectExtent l="0" t="0" r="0" b="0"/>
              <wp:wrapSquare wrapText="bothSides"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76022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1A4CAD" w:rsidRDefault="00957E6E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3" o:spid="_x0000_s3" style="position:absolute;mso-wrap-distance-left:0.0pt;mso-wrap-distance-top:0.0pt;mso-wrap-distance-right:0.0pt;mso-wrap-distance-bottom:0.0pt;z-index:251660288;o:allowoverlap:true;o:allowincell:true;mso-position-horizontal-relative:margin;mso-position-horizontal:right;mso-position-vertical-relative:text;margin-top:0.0pt;mso-position-vertical:absolute;width:9.4pt;height:138.6pt;" coordsize="100000,100000" path="m0,0l0,21600l21571,21600l21571,0xee" filled="f" stroked="f" strokeweight="0.00pt">
              <v:path textboxrect="0,0,0,0"/>
              <w10:wrap type="square"/>
              <v:textbox>
                <w:txbxContent>
                  <w:p>
                    <w:pPr>
                      <w:pStyle w:val="845"/>
                      <w:rPr>
                        <w:rStyle w:val="825"/>
                      </w:rPr>
                    </w:pPr>
                    <w:r>
                      <w:rPr>
                        <w:rStyle w:val="825"/>
                        <w:color w:val="000000"/>
                      </w:rPr>
                      <w:fldChar w:fldCharType="begin"/>
                    </w:r>
                    <w:r>
                      <w:rPr>
                        <w:rStyle w:val="82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5"/>
                        <w:color w:val="000000"/>
                      </w:rPr>
                      <w:fldChar w:fldCharType="separate"/>
                    </w:r>
                    <w:r>
                      <w:rPr>
                        <w:rStyle w:val="825"/>
                        <w:color w:val="000000"/>
                      </w:rPr>
                      <w:t xml:space="preserve">0</w:t>
                    </w:r>
                    <w:r>
                      <w:rPr>
                        <w:rStyle w:val="825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AD" w:rsidRDefault="00957E6E">
    <w:pPr>
      <w:pStyle w:val="1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9380" cy="1465580"/>
              <wp:effectExtent l="0" t="0" r="0" b="0"/>
              <wp:wrapSquare wrapText="bothSides"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9380" cy="146558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0 100000"/>
                          <a:gd name="gd12" fmla="*/ h 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1A4CAD" w:rsidRDefault="00957E6E">
                          <w:pPr>
                            <w:pStyle w:val="16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separate"/>
                          </w:r>
                          <w:r w:rsidR="00C718F8">
                            <w:rPr>
                              <w:rStyle w:val="af2"/>
                              <w:noProof/>
                              <w:color w:val="000000"/>
                            </w:rPr>
                            <w:t>13</w:t>
                          </w:r>
                          <w:r>
                            <w:rPr>
                              <w:rStyle w:val="af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</wp:anchor>
          </w:drawing>
        </mc:Choice>
        <mc:Fallback>
          <w:pict>
            <v:shape id="Полилиния 1" o:spid="_x0000_s1029" style="position:absolute;margin-left:-41.8pt;margin-top:0;width:9.4pt;height:115.4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" adj="-11796480,,5400" path="m,l,21600r21600,l21600,,,xe" filled="f" stroked="f" strokeweight="0">
              <v:stroke joinstyle="round"/>
              <v:formulas/>
              <v:path arrowok="t" o:extrusionok="f" o:connecttype="custom" textboxrect="0,0,100000,100000"/>
              <v:textbox>
                <w:txbxContent>
                  <w:p w:rsidR="001A4CAD" w:rsidRDefault="00957E6E">
                    <w:pPr>
                      <w:pStyle w:val="16"/>
                      <w:rPr>
                        <w:rStyle w:val="af2"/>
                      </w:rPr>
                    </w:pPr>
                    <w:r>
                      <w:rPr>
                        <w:rStyle w:val="af2"/>
                        <w:color w:val="000000"/>
                      </w:rPr>
                      <w:fldChar w:fldCharType="begin"/>
                    </w:r>
                    <w:r>
                      <w:rPr>
                        <w:rStyle w:val="af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2"/>
                        <w:color w:val="000000"/>
                      </w:rPr>
                      <w:fldChar w:fldCharType="separate"/>
                    </w:r>
                    <w:r w:rsidR="00C718F8">
                      <w:rPr>
                        <w:rStyle w:val="af2"/>
                        <w:noProof/>
                        <w:color w:val="000000"/>
                      </w:rPr>
                      <w:t>13</w:t>
                    </w:r>
                    <w:r>
                      <w:rPr>
                        <w:rStyle w:val="af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6E" w:rsidRDefault="00957E6E">
      <w:pPr>
        <w:spacing w:after="0" w:line="240" w:lineRule="auto"/>
      </w:pPr>
      <w:r>
        <w:separator/>
      </w:r>
    </w:p>
  </w:footnote>
  <w:footnote w:type="continuationSeparator" w:id="0">
    <w:p w:rsidR="00957E6E" w:rsidRDefault="00957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AD"/>
    <w:rsid w:val="001A4CAD"/>
    <w:rsid w:val="00957E6E"/>
    <w:rsid w:val="00B5779A"/>
    <w:rsid w:val="00C718F8"/>
    <w:rsid w:val="00E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2-Accent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customStyle="1" w:styleId="110">
    <w:name w:val="Заголовок 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3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ab">
    <w:name w:val="Название Знак"/>
    <w:uiPriority w:val="10"/>
    <w:qFormat/>
    <w:rPr>
      <w:sz w:val="48"/>
      <w:szCs w:val="48"/>
    </w:rPr>
  </w:style>
  <w:style w:type="character" w:customStyle="1" w:styleId="ac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uiPriority w:val="29"/>
    <w:qFormat/>
    <w:rPr>
      <w:i/>
    </w:rPr>
  </w:style>
  <w:style w:type="character" w:customStyle="1" w:styleId="ad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link w:val="a3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e">
    <w:name w:val="Нижний колонтитул Знак"/>
    <w:uiPriority w:val="99"/>
    <w:qFormat/>
  </w:style>
  <w:style w:type="character" w:customStyle="1" w:styleId="af">
    <w:name w:val="Текст сноски Знак"/>
    <w:uiPriority w:val="99"/>
    <w:qFormat/>
    <w:rPr>
      <w:sz w:val="18"/>
    </w:rPr>
  </w:style>
  <w:style w:type="character" w:customStyle="1" w:styleId="af0">
    <w:name w:val="Текст концевой сноски Знак"/>
    <w:uiPriority w:val="99"/>
    <w:qFormat/>
    <w:rPr>
      <w:sz w:val="20"/>
    </w:rPr>
  </w:style>
  <w:style w:type="character" w:customStyle="1" w:styleId="af1">
    <w:name w:val="Основной текст_"/>
    <w:qFormat/>
    <w:rPr>
      <w:spacing w:val="5"/>
      <w:sz w:val="21"/>
      <w:szCs w:val="21"/>
      <w:shd w:val="clear" w:color="auto" w:fill="FFFFFF"/>
    </w:rPr>
  </w:style>
  <w:style w:type="character" w:customStyle="1" w:styleId="23">
    <w:name w:val="Заголовок №2_"/>
    <w:qFormat/>
    <w:rPr>
      <w:b/>
      <w:bCs/>
      <w:spacing w:val="6"/>
      <w:sz w:val="21"/>
      <w:szCs w:val="21"/>
      <w:shd w:val="clear" w:color="auto" w:fill="FFFFFF"/>
    </w:rPr>
  </w:style>
  <w:style w:type="character" w:styleId="af2">
    <w:name w:val="page number"/>
    <w:basedOn w:val="a0"/>
    <w:qFormat/>
  </w:style>
  <w:style w:type="character" w:customStyle="1" w:styleId="af3">
    <w:name w:val="Верхний колонтитул Знак"/>
    <w:basedOn w:val="a0"/>
    <w:qFormat/>
  </w:style>
  <w:style w:type="character" w:customStyle="1" w:styleId="apple-converted-space">
    <w:name w:val="apple-converted-space"/>
    <w:qFormat/>
  </w:style>
  <w:style w:type="character" w:customStyle="1" w:styleId="24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af4">
    <w:name w:val="Колонтитул"/>
    <w:qFormat/>
    <w:rPr>
      <w:rFonts w:ascii="Times New Roman" w:eastAsia="Times New Roman" w:hAnsi="Times New Roman"/>
      <w:b/>
      <w:b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sz w:val="26"/>
      <w:szCs w:val="26"/>
      <w:u w:val="none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pPr>
      <w:jc w:val="center"/>
    </w:pPr>
    <w:rPr>
      <w:sz w:val="28"/>
    </w:rPr>
  </w:style>
  <w:style w:type="paragraph" w:styleId="af8">
    <w:name w:val="List"/>
    <w:basedOn w:val="af7"/>
    <w:rPr>
      <w:rFonts w:cs="Mangal"/>
    </w:rPr>
  </w:style>
  <w:style w:type="paragraph" w:customStyle="1" w:styleId="14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styleId="afa">
    <w:name w:val="List Paragraph"/>
    <w:uiPriority w:val="34"/>
    <w:qFormat/>
    <w:pPr>
      <w:ind w:left="720"/>
      <w:contextualSpacing/>
    </w:pPr>
  </w:style>
  <w:style w:type="paragraph" w:styleId="afb">
    <w:name w:val="No Spacing"/>
    <w:qFormat/>
    <w:rPr>
      <w:rFonts w:ascii="Calibri" w:hAnsi="Calibri"/>
      <w:sz w:val="22"/>
      <w:szCs w:val="22"/>
      <w:lang w:eastAsia="ru-RU"/>
    </w:rPr>
  </w:style>
  <w:style w:type="paragraph" w:styleId="afc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5">
    <w:name w:val="Quote"/>
    <w:uiPriority w:val="29"/>
    <w:qFormat/>
    <w:pPr>
      <w:ind w:left="720" w:right="720"/>
    </w:pPr>
    <w:rPr>
      <w:i/>
    </w:rPr>
  </w:style>
  <w:style w:type="paragraph" w:styleId="afe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pPr>
      <w:tabs>
        <w:tab w:val="center" w:pos="4677"/>
        <w:tab w:val="right" w:pos="9355"/>
      </w:tabs>
    </w:pPr>
  </w:style>
  <w:style w:type="paragraph" w:styleId="aff0">
    <w:name w:val="footnote text"/>
    <w:uiPriority w:val="99"/>
    <w:semiHidden/>
    <w:unhideWhenUsed/>
    <w:pPr>
      <w:spacing w:after="40"/>
    </w:pPr>
    <w:rPr>
      <w:sz w:val="18"/>
    </w:rPr>
  </w:style>
  <w:style w:type="paragraph" w:styleId="aff1">
    <w:name w:val="endnote text"/>
    <w:uiPriority w:val="99"/>
    <w:semiHidden/>
    <w:unhideWhenUsed/>
  </w:style>
  <w:style w:type="paragraph" w:styleId="17">
    <w:name w:val="toc 1"/>
    <w:uiPriority w:val="39"/>
    <w:unhideWhenUsed/>
    <w:pPr>
      <w:spacing w:after="57"/>
    </w:pPr>
  </w:style>
  <w:style w:type="paragraph" w:styleId="26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aff2">
    <w:name w:val="TOC Heading"/>
    <w:uiPriority w:val="39"/>
    <w:unhideWhenUsed/>
    <w:qFormat/>
  </w:style>
  <w:style w:type="paragraph" w:styleId="aff3">
    <w:name w:val="table of figures"/>
    <w:uiPriority w:val="99"/>
    <w:unhideWhenUsed/>
    <w:qFormat/>
  </w:style>
  <w:style w:type="paragraph" w:customStyle="1" w:styleId="aff4">
    <w:name w:val="Знак"/>
    <w:basedOn w:val="a"/>
    <w:qFormat/>
    <w:pPr>
      <w:spacing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qFormat/>
    <w:rPr>
      <w:rFonts w:ascii="Arial" w:eastAsia="Arial" w:hAnsi="Arial" w:cs="Arial"/>
      <w:sz w:val="16"/>
      <w:lang w:val="en-US"/>
    </w:rPr>
  </w:style>
  <w:style w:type="paragraph" w:customStyle="1" w:styleId="18">
    <w:name w:val="Основной текст1"/>
    <w:basedOn w:val="a"/>
    <w:qFormat/>
    <w:pPr>
      <w:widowControl w:val="0"/>
      <w:shd w:val="clear" w:color="auto" w:fill="FFFFFF"/>
      <w:spacing w:before="300" w:after="0" w:line="278" w:lineRule="exact"/>
      <w:jc w:val="both"/>
    </w:pPr>
    <w:rPr>
      <w:spacing w:val="5"/>
      <w:sz w:val="21"/>
      <w:szCs w:val="21"/>
    </w:rPr>
  </w:style>
  <w:style w:type="paragraph" w:customStyle="1" w:styleId="27">
    <w:name w:val="Заголовок №2"/>
    <w:basedOn w:val="a"/>
    <w:qFormat/>
    <w:pPr>
      <w:widowControl w:val="0"/>
      <w:shd w:val="clear" w:color="auto" w:fill="FFFFFF"/>
      <w:spacing w:before="240" w:after="360" w:line="0" w:lineRule="atLeast"/>
      <w:ind w:hanging="3000"/>
      <w:outlineLvl w:val="1"/>
    </w:pPr>
    <w:rPr>
      <w:b/>
      <w:bCs/>
      <w:spacing w:val="6"/>
      <w:sz w:val="21"/>
      <w:szCs w:val="21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before="620" w:after="0" w:line="293" w:lineRule="exact"/>
      <w:ind w:hanging="380"/>
      <w:jc w:val="both"/>
    </w:pPr>
    <w:rPr>
      <w:sz w:val="26"/>
      <w:szCs w:val="2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lang w:eastAsia="ru-RU"/>
    </w:rPr>
  </w:style>
  <w:style w:type="paragraph" w:styleId="aff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8">
    <w:name w:val="Normal (Web)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9405301-DE60-4DE5-984A-F47AD0BBE9D1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770E560-98DA-413E-91BF-85E042E6EC71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Поздняков</cp:lastModifiedBy>
  <cp:revision>32</cp:revision>
  <cp:lastPrinted>2025-03-25T05:45:00Z</cp:lastPrinted>
  <dcterms:created xsi:type="dcterms:W3CDTF">2022-09-13T13:25:00Z</dcterms:created>
  <dcterms:modified xsi:type="dcterms:W3CDTF">2025-03-25T06:21:00Z</dcterms:modified>
  <dc:language>ru-RU</dc:language>
</cp:coreProperties>
</file>