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20" w:rsidRDefault="00901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AD4B20" w:rsidRDefault="00901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AD4B20" w:rsidRDefault="00901E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вопросу: «О 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Ровеньский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</w:p>
    <w:p w:rsidR="00AD4B20" w:rsidRDefault="00AD4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4B20" w:rsidRDefault="00AD4B20">
      <w:pPr>
        <w:spacing w:after="0" w:line="240" w:lineRule="auto"/>
        <w:jc w:val="center"/>
      </w:pPr>
    </w:p>
    <w:p w:rsidR="00AD4B20" w:rsidRDefault="0090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D4B20" w:rsidRDefault="00901E2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6"/>
        </w:rPr>
        <w:t>19 ноября 2024 года</w:t>
      </w:r>
    </w:p>
    <w:p w:rsidR="00AD4B20" w:rsidRDefault="00AD4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B20" w:rsidRDefault="0090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от «29» октября 2024 года №50 «О рассмотрении и</w:t>
      </w:r>
      <w:r>
        <w:rPr>
          <w:rFonts w:ascii="Times New Roman" w:eastAsia="Times New Roman" w:hAnsi="Times New Roman" w:cs="Times New Roman"/>
          <w:sz w:val="28"/>
          <w:szCs w:val="28"/>
        </w:rPr>
        <w:t>нициативы о преобразовании поселений,  входящих  в состав  муниципального 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</w:t>
      </w:r>
      <w:r>
        <w:rPr>
          <w:rFonts w:ascii="Times New Roman" w:eastAsia="Times New Roman" w:hAnsi="Times New Roman" w:cs="Times New Roman"/>
          <w:sz w:val="28"/>
          <w:szCs w:val="28"/>
        </w:rPr>
        <w:t>ушаний по вопросу преобразования муниципального образования».</w:t>
      </w:r>
      <w:proofErr w:type="gramEnd"/>
    </w:p>
    <w:p w:rsidR="00AD4B20" w:rsidRDefault="0090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6"/>
        </w:rPr>
        <w:t>вопрос «О преобразовании всех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6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 Белгородской области», путем объединения и наделении вновь образованно</w:t>
      </w:r>
      <w:r>
        <w:rPr>
          <w:rFonts w:ascii="Times New Roman" w:hAnsi="Times New Roman" w:cs="Times New Roman"/>
          <w:sz w:val="28"/>
          <w:szCs w:val="26"/>
        </w:rPr>
        <w:t>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B20" w:rsidRDefault="0090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sz w:val="28"/>
          <w:szCs w:val="26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6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Белгородской области.</w:t>
      </w:r>
    </w:p>
    <w:p w:rsidR="00AD4B20" w:rsidRDefault="0090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19 ноября 2024 года</w:t>
      </w:r>
    </w:p>
    <w:p w:rsidR="00AD4B20" w:rsidRDefault="0090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Количество участников публичных слу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6"/>
          <w:highlight w:val="white"/>
        </w:rPr>
        <w:t xml:space="preserve">шаний: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36 чел.</w:t>
      </w:r>
    </w:p>
    <w:p w:rsidR="00AD4B20" w:rsidRDefault="00901E2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Сведения о количестве участников публичных слушаний, не зарегистрированных на территории </w:t>
      </w:r>
      <w:proofErr w:type="spellStart"/>
      <w:r w:rsidR="007C1AC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Нагорьевского</w:t>
      </w:r>
      <w:proofErr w:type="spellEnd"/>
      <w:r w:rsidR="007C1AC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 сельского  поселения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3 человек</w:t>
      </w:r>
      <w:r w:rsidR="007C1AC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AD4B20" w:rsidRDefault="0090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Реквизиты протокола публичных слушаний, на основании которого подготовлено заключение: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от «19» ноября 2024 года №1.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AD4B2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рабочей группы </w:t>
            </w:r>
          </w:p>
        </w:tc>
      </w:tr>
      <w:tr w:rsidR="00AD4B2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Преобразование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район» Белгородской области, путем их объединения и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Предложено поддержать инициативу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Муниципального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 xml:space="preserve">о преобразовании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городского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селения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«Поселок Ровеньки»;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Айдарского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Верхнесеребрянского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Лозовского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Лознянского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Ладомировского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Наголенского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Ржевского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Свистовского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Харьковского сельского поселения,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район» Белгородской области, путем их объединени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я и наделении вновь образованного муниципального образования статусом муниципального округа 19.11.2024г.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Внесено - директором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 Герасименко Т. А.  </w:t>
            </w:r>
          </w:p>
          <w:p w:rsidR="00AD4B20" w:rsidRDefault="00901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Поддержано:</w:t>
            </w:r>
          </w:p>
          <w:p w:rsidR="00AD4B20" w:rsidRDefault="00901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заместителем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Поздн</w:t>
            </w:r>
            <w:r>
              <w:rPr>
                <w:rFonts w:ascii="Times New Roman" w:eastAsia="Times New Roman" w:hAnsi="Times New Roman" w:cs="Times New Roman"/>
                <w:sz w:val="24"/>
              </w:rPr>
              <w:t>яковым В. В.;</w:t>
            </w:r>
          </w:p>
          <w:p w:rsidR="00AD4B20" w:rsidRDefault="009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заведующей  МБДОУ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Нагорьевский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детский  сад»  Малаховой  И. А.;  - библиотекарем  Всесвятской  библиотеки  филиала  МБУК  «Центральная  библиотека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района»  Чеховой  В.Н.;</w:t>
            </w:r>
          </w:p>
          <w:p w:rsidR="00AD4B20" w:rsidRDefault="00901E2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-учителем 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  Некрасовым  В.А.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20" w:rsidRDefault="00901E2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Предложение обосновано и целесообразно</w:t>
            </w:r>
          </w:p>
        </w:tc>
      </w:tr>
    </w:tbl>
    <w:p w:rsidR="00AD4B20" w:rsidRDefault="00AD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20" w:rsidRDefault="0090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AD4B20" w:rsidRDefault="00AD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20" w:rsidRDefault="0090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 Поддержать инициативу Муниципального 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о преобразовании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городского поселения «Поселок Ровеньки»;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Айдарского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поселения;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Верхнесеребрянского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поселения; Лозовского сельского поселения;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Лознянского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поселения;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Ладомировского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поселения;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Наголенского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поселения;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Нагорьевского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поселения;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льского поселения; Ржевского сельского поселения;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Свистовского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поселения; Харьковского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в состав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елгородской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путем их объединения и наделении вновь образованного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 статусом муниципального округа.</w:t>
      </w:r>
    </w:p>
    <w:p w:rsidR="00AD4B20" w:rsidRDefault="00901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Нагорьевского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входящих в состав муниципального района «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AD4B20" w:rsidRDefault="00901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бразования статусом муниципального округа»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Нагорьевского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AD4B20" w:rsidRDefault="00901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>
        <w:rPr>
          <w:rFonts w:ascii="Calibri" w:eastAsia="Arial" w:hAnsi="Calibri" w:cs="Times New Roman"/>
          <w:lang w:eastAsia="ru-RU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Опубликовать настоящее заключение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сетевом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нива» (https://niva1931.ru),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в информационно-телекоммуникационной сети «Интернет» (адрес сайта: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https://nagore-r31.gosweb.gosuslugi.ru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 Уставом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области.</w:t>
      </w:r>
    </w:p>
    <w:p w:rsidR="00AD4B20" w:rsidRDefault="00AD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0" w:rsidRDefault="00901E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B20" w:rsidRDefault="00901E2C">
      <w:pPr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Е.Г. Бычкова</w:t>
      </w:r>
    </w:p>
    <w:p w:rsidR="00AD4B20" w:rsidRDefault="00AD4B20">
      <w:pPr>
        <w:rPr>
          <w:rFonts w:ascii="Times New Roman" w:hAnsi="Times New Roman" w:cs="Times New Roman"/>
        </w:rPr>
      </w:pPr>
    </w:p>
    <w:p w:rsidR="00AD4B20" w:rsidRDefault="00901E2C">
      <w:pPr>
        <w:pStyle w:val="12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color w:val="000000" w:themeColor="text1"/>
          <w:szCs w:val="28"/>
        </w:rPr>
        <w:t xml:space="preserve">Секретарь </w:t>
      </w:r>
    </w:p>
    <w:p w:rsidR="00AD4B20" w:rsidRDefault="00901E2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публичных слушаний                                                               В.В. Поздняков  </w:t>
      </w:r>
    </w:p>
    <w:p w:rsidR="00AD4B20" w:rsidRDefault="00AD4B20"/>
    <w:p w:rsidR="00AD4B20" w:rsidRDefault="00AD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B2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2C" w:rsidRDefault="00901E2C">
      <w:pPr>
        <w:spacing w:after="0" w:line="240" w:lineRule="auto"/>
      </w:pPr>
      <w:r>
        <w:separator/>
      </w:r>
    </w:p>
  </w:endnote>
  <w:endnote w:type="continuationSeparator" w:id="0">
    <w:p w:rsidR="00901E2C" w:rsidRDefault="0090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2C" w:rsidRDefault="00901E2C">
      <w:pPr>
        <w:spacing w:after="0" w:line="240" w:lineRule="auto"/>
      </w:pPr>
      <w:r>
        <w:separator/>
      </w:r>
    </w:p>
  </w:footnote>
  <w:footnote w:type="continuationSeparator" w:id="0">
    <w:p w:rsidR="00901E2C" w:rsidRDefault="0090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06559"/>
      <w:docPartObj>
        <w:docPartGallery w:val="Page Numbers (Top of Page)"/>
        <w:docPartUnique/>
      </w:docPartObj>
    </w:sdtPr>
    <w:sdtEndPr/>
    <w:sdtContent>
      <w:p w:rsidR="00AD4B20" w:rsidRDefault="00901E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AC5">
          <w:rPr>
            <w:noProof/>
          </w:rPr>
          <w:t>2</w:t>
        </w:r>
        <w:r>
          <w:fldChar w:fldCharType="end"/>
        </w:r>
      </w:p>
    </w:sdtContent>
  </w:sdt>
  <w:p w:rsidR="00AD4B20" w:rsidRDefault="00AD4B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4579"/>
    <w:multiLevelType w:val="hybridMultilevel"/>
    <w:tmpl w:val="DD8CF48A"/>
    <w:lvl w:ilvl="0" w:tplc="0B287ABA">
      <w:start w:val="1"/>
      <w:numFmt w:val="decimal"/>
      <w:lvlText w:val="%1."/>
      <w:lvlJc w:val="left"/>
    </w:lvl>
    <w:lvl w:ilvl="1" w:tplc="A3D6DB0C">
      <w:start w:val="1"/>
      <w:numFmt w:val="lowerLetter"/>
      <w:lvlText w:val="%2."/>
      <w:lvlJc w:val="left"/>
      <w:pPr>
        <w:ind w:left="1440" w:hanging="360"/>
      </w:pPr>
    </w:lvl>
    <w:lvl w:ilvl="2" w:tplc="1988DAEC">
      <w:start w:val="1"/>
      <w:numFmt w:val="lowerRoman"/>
      <w:lvlText w:val="%3."/>
      <w:lvlJc w:val="right"/>
      <w:pPr>
        <w:ind w:left="2160" w:hanging="180"/>
      </w:pPr>
    </w:lvl>
    <w:lvl w:ilvl="3" w:tplc="4EA43E26">
      <w:start w:val="1"/>
      <w:numFmt w:val="decimal"/>
      <w:lvlText w:val="%4."/>
      <w:lvlJc w:val="left"/>
      <w:pPr>
        <w:ind w:left="2880" w:hanging="360"/>
      </w:pPr>
    </w:lvl>
    <w:lvl w:ilvl="4" w:tplc="9FB0D4A4">
      <w:start w:val="1"/>
      <w:numFmt w:val="lowerLetter"/>
      <w:lvlText w:val="%5."/>
      <w:lvlJc w:val="left"/>
      <w:pPr>
        <w:ind w:left="3600" w:hanging="360"/>
      </w:pPr>
    </w:lvl>
    <w:lvl w:ilvl="5" w:tplc="13E45FD4">
      <w:start w:val="1"/>
      <w:numFmt w:val="lowerRoman"/>
      <w:lvlText w:val="%6."/>
      <w:lvlJc w:val="right"/>
      <w:pPr>
        <w:ind w:left="4320" w:hanging="180"/>
      </w:pPr>
    </w:lvl>
    <w:lvl w:ilvl="6" w:tplc="9F201554">
      <w:start w:val="1"/>
      <w:numFmt w:val="decimal"/>
      <w:lvlText w:val="%7."/>
      <w:lvlJc w:val="left"/>
      <w:pPr>
        <w:ind w:left="5040" w:hanging="360"/>
      </w:pPr>
    </w:lvl>
    <w:lvl w:ilvl="7" w:tplc="74DCA6E2">
      <w:start w:val="1"/>
      <w:numFmt w:val="lowerLetter"/>
      <w:lvlText w:val="%8."/>
      <w:lvlJc w:val="left"/>
      <w:pPr>
        <w:ind w:left="5760" w:hanging="360"/>
      </w:pPr>
    </w:lvl>
    <w:lvl w:ilvl="8" w:tplc="B524CE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20"/>
    <w:rsid w:val="007C1AC5"/>
    <w:rsid w:val="00901E2C"/>
    <w:rsid w:val="00A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band1Vert">
      <w:tblPr/>
      <w:tcPr>
        <w:shd w:val="clear" w:color="B3D0EB" w:themeColor="accent1" w:themeTint="75" w:fill="B3D0EB"/>
      </w:tcPr>
    </w:tblStylePr>
    <w:tblStylePr w:type="band1Horz">
      <w:tblPr/>
      <w:tcPr>
        <w:shd w:val="clear" w:color="B3D0EB" w:themeColor="accent1" w:themeTint="75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band1Vert">
      <w:tblPr/>
      <w:tcPr>
        <w:shd w:val="clear" w:color="F6C3A0" w:themeColor="accent2" w:themeTint="75" w:fill="F6C3A0"/>
      </w:tcPr>
    </w:tblStylePr>
    <w:tblStylePr w:type="band1Horz">
      <w:tblPr/>
      <w:tcPr>
        <w:shd w:val="clear" w:color="F6C3A0" w:themeColor="accent2" w:themeTint="75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band1Vert">
      <w:tblPr/>
      <w:tcPr>
        <w:shd w:val="clear" w:color="D5D5D5" w:themeColor="accent3" w:themeTint="75" w:fill="D5D5D5"/>
      </w:tcPr>
    </w:tblStylePr>
    <w:tblStylePr w:type="band1Horz">
      <w:tblPr/>
      <w:tcPr>
        <w:shd w:val="clear" w:color="D5D5D5" w:themeColor="accent3" w:themeTint="7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band1Vert">
      <w:tblPr/>
      <w:tcPr>
        <w:shd w:val="clear" w:color="FFE28A" w:themeColor="accent4" w:themeTint="75" w:fill="FFE28A"/>
      </w:tcPr>
    </w:tblStylePr>
    <w:tblStylePr w:type="band1Horz">
      <w:tblPr/>
      <w:tcPr>
        <w:shd w:val="clear" w:color="FFE28A" w:themeColor="accent4" w:themeTint="75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band1Vert">
      <w:tblPr/>
      <w:tcPr>
        <w:shd w:val="clear" w:color="A9BEE4" w:themeColor="accent5" w:themeTint="75" w:fill="A9BEE4"/>
      </w:tcPr>
    </w:tblStylePr>
    <w:tblStylePr w:type="band1Horz">
      <w:tblPr/>
      <w:tcPr>
        <w:shd w:val="clear" w:color="A9BEE4" w:themeColor="accent5" w:themeTint="75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band1Vert">
      <w:tblPr/>
      <w:tcPr>
        <w:shd w:val="clear" w:color="BCDBA8" w:themeColor="accent6" w:themeTint="75" w:fill="BCDBA8"/>
      </w:tcPr>
    </w:tblStylePr>
    <w:tblStylePr w:type="band1Horz">
      <w:tblPr/>
      <w:tcPr>
        <w:shd w:val="clear" w:color="BCDBA8" w:themeColor="accent6" w:themeTint="75" w:fill="BCDB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tblPr/>
      <w:tcPr>
        <w:shd w:val="clear" w:color="D5E5F4" w:themeColor="accent1" w:themeTint="40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tblPr/>
      <w:tcPr>
        <w:shd w:val="clear" w:color="FADECB" w:themeColor="accent2" w:themeTint="40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tblPr/>
      <w:tcPr>
        <w:shd w:val="clear" w:color="E8E8E8" w:themeColor="accent3" w:themeTint="40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tblPr/>
      <w:tcPr>
        <w:shd w:val="clear" w:color="FFEFBF" w:themeColor="accent4" w:themeTint="40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tblPr/>
      <w:tcPr>
        <w:shd w:val="clear" w:color="CFDBF0" w:themeColor="accent5" w:themeTint="4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tblPr/>
      <w:tcPr>
        <w:shd w:val="clear" w:color="DAEBCF" w:themeColor="accent6" w:themeTint="40" w:fill="DAEBC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band1Vert">
      <w:tblPr/>
      <w:tcPr>
        <w:shd w:val="clear" w:color="B3D0EB" w:themeColor="accent1" w:themeTint="75" w:fill="B3D0EB"/>
      </w:tcPr>
    </w:tblStylePr>
    <w:tblStylePr w:type="band1Horz">
      <w:tblPr/>
      <w:tcPr>
        <w:shd w:val="clear" w:color="B3D0EB" w:themeColor="accent1" w:themeTint="75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band1Vert">
      <w:tblPr/>
      <w:tcPr>
        <w:shd w:val="clear" w:color="F6C3A0" w:themeColor="accent2" w:themeTint="75" w:fill="F6C3A0"/>
      </w:tcPr>
    </w:tblStylePr>
    <w:tblStylePr w:type="band1Horz">
      <w:tblPr/>
      <w:tcPr>
        <w:shd w:val="clear" w:color="F6C3A0" w:themeColor="accent2" w:themeTint="75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band1Vert">
      <w:tblPr/>
      <w:tcPr>
        <w:shd w:val="clear" w:color="D5D5D5" w:themeColor="accent3" w:themeTint="75" w:fill="D5D5D5"/>
      </w:tcPr>
    </w:tblStylePr>
    <w:tblStylePr w:type="band1Horz">
      <w:tblPr/>
      <w:tcPr>
        <w:shd w:val="clear" w:color="D5D5D5" w:themeColor="accent3" w:themeTint="7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band1Vert">
      <w:tblPr/>
      <w:tcPr>
        <w:shd w:val="clear" w:color="FFE28A" w:themeColor="accent4" w:themeTint="75" w:fill="FFE28A"/>
      </w:tcPr>
    </w:tblStylePr>
    <w:tblStylePr w:type="band1Horz">
      <w:tblPr/>
      <w:tcPr>
        <w:shd w:val="clear" w:color="FFE28A" w:themeColor="accent4" w:themeTint="75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band1Vert">
      <w:tblPr/>
      <w:tcPr>
        <w:shd w:val="clear" w:color="A9BEE4" w:themeColor="accent5" w:themeTint="75" w:fill="A9BEE4"/>
      </w:tcPr>
    </w:tblStylePr>
    <w:tblStylePr w:type="band1Horz">
      <w:tblPr/>
      <w:tcPr>
        <w:shd w:val="clear" w:color="A9BEE4" w:themeColor="accent5" w:themeTint="75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band1Vert">
      <w:tblPr/>
      <w:tcPr>
        <w:shd w:val="clear" w:color="BCDBA8" w:themeColor="accent6" w:themeTint="75" w:fill="BCDBA8"/>
      </w:tcPr>
    </w:tblStylePr>
    <w:tblStylePr w:type="band1Horz">
      <w:tblPr/>
      <w:tcPr>
        <w:shd w:val="clear" w:color="BCDBA8" w:themeColor="accent6" w:themeTint="75" w:fill="BCDB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tblPr/>
      <w:tcPr>
        <w:shd w:val="clear" w:color="D5E5F4" w:themeColor="accent1" w:themeTint="40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tblPr/>
      <w:tcPr>
        <w:shd w:val="clear" w:color="FADECB" w:themeColor="accent2" w:themeTint="40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tblPr/>
      <w:tcPr>
        <w:shd w:val="clear" w:color="E8E8E8" w:themeColor="accent3" w:themeTint="40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tblPr/>
      <w:tcPr>
        <w:shd w:val="clear" w:color="FFEFBF" w:themeColor="accent4" w:themeTint="40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tblPr/>
      <w:tcPr>
        <w:shd w:val="clear" w:color="CFDBF0" w:themeColor="accent5" w:themeTint="4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tblPr/>
      <w:tcPr>
        <w:shd w:val="clear" w:color="DAEBCF" w:themeColor="accent6" w:themeTint="40" w:fill="DAEBC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2FFD5AE-1759-4285-831E-32DB5CF02E84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31C49C7-F134-4BE8-A900-6630C80CC371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Поздняков</cp:lastModifiedBy>
  <cp:revision>12</cp:revision>
  <dcterms:created xsi:type="dcterms:W3CDTF">2024-11-11T10:54:00Z</dcterms:created>
  <dcterms:modified xsi:type="dcterms:W3CDTF">2024-11-20T05:50:00Z</dcterms:modified>
</cp:coreProperties>
</file>